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D651" w14:textId="77777777" w:rsidR="00382B94" w:rsidRDefault="00382B94" w:rsidP="00382B94">
      <w:pPr>
        <w:rPr>
          <w:b/>
          <w:bCs/>
        </w:rPr>
      </w:pPr>
      <w:r>
        <w:rPr>
          <w:b/>
          <w:bCs/>
        </w:rPr>
        <w:t>Załącznik do Uchwały nr 2 WKW WFIS:</w:t>
      </w:r>
    </w:p>
    <w:p w14:paraId="174EC2C3" w14:textId="77777777" w:rsidR="00382B94" w:rsidRDefault="00382B94" w:rsidP="00382B94">
      <w:pPr>
        <w:rPr>
          <w:b/>
          <w:bCs/>
        </w:rPr>
      </w:pPr>
      <w:r>
        <w:rPr>
          <w:b/>
          <w:bCs/>
        </w:rPr>
        <w:t xml:space="preserve"> Kalendarz wyborczy WFIS, wybory kadencji 2024-2028</w:t>
      </w:r>
    </w:p>
    <w:p w14:paraId="43926471" w14:textId="77777777" w:rsidR="00382B94" w:rsidRDefault="00382B94" w:rsidP="00382B94">
      <w:pPr>
        <w:rPr>
          <w:b/>
          <w:bCs/>
        </w:rPr>
      </w:pPr>
    </w:p>
    <w:p w14:paraId="62242654" w14:textId="77777777" w:rsidR="00382B94" w:rsidRDefault="00382B94" w:rsidP="00382B94">
      <w:pPr>
        <w:pStyle w:val="Akapitzlist"/>
        <w:numPr>
          <w:ilvl w:val="0"/>
          <w:numId w:val="14"/>
        </w:numPr>
        <w:suppressAutoHyphens/>
        <w:autoSpaceDN w:val="0"/>
        <w:spacing w:line="249" w:lineRule="auto"/>
      </w:pPr>
      <w:r>
        <w:rPr>
          <w:sz w:val="24"/>
          <w:szCs w:val="24"/>
        </w:rPr>
        <w:t>Wybory do kolegium elektorów UŁ (</w:t>
      </w:r>
      <w:r>
        <w:rPr>
          <w:b/>
          <w:bCs/>
          <w:sz w:val="24"/>
          <w:szCs w:val="24"/>
        </w:rPr>
        <w:t>do 2 lutego 2024r</w:t>
      </w:r>
      <w:r>
        <w:rPr>
          <w:sz w:val="24"/>
          <w:szCs w:val="24"/>
        </w:rPr>
        <w:t>.)</w:t>
      </w:r>
    </w:p>
    <w:p w14:paraId="1FDF5835" w14:textId="77777777" w:rsidR="00382B94" w:rsidRDefault="00382B94" w:rsidP="00382B94">
      <w:pPr>
        <w:pStyle w:val="Akapitzlist"/>
        <w:rPr>
          <w:sz w:val="24"/>
          <w:szCs w:val="24"/>
        </w:rPr>
      </w:pPr>
    </w:p>
    <w:p w14:paraId="5647AE1D" w14:textId="77777777" w:rsidR="00382B94" w:rsidRDefault="00382B94" w:rsidP="00382B94">
      <w:pPr>
        <w:pStyle w:val="Akapitzlist"/>
        <w:ind w:left="765"/>
      </w:pPr>
      <w:r>
        <w:rPr>
          <w:sz w:val="24"/>
          <w:szCs w:val="24"/>
        </w:rPr>
        <w:t>Zgłaszanie kandydatów na elektorów WFIS:</w:t>
      </w:r>
      <w:r>
        <w:rPr>
          <w:b/>
          <w:bCs/>
          <w:sz w:val="24"/>
          <w:szCs w:val="24"/>
        </w:rPr>
        <w:t xml:space="preserve"> </w:t>
      </w:r>
    </w:p>
    <w:p w14:paraId="16EF659B" w14:textId="77777777" w:rsidR="00382B94" w:rsidRDefault="00382B94" w:rsidP="00382B94">
      <w:pPr>
        <w:pStyle w:val="Akapitzlist"/>
        <w:ind w:left="765"/>
        <w:rPr>
          <w:b/>
          <w:bCs/>
          <w:sz w:val="24"/>
          <w:szCs w:val="24"/>
        </w:rPr>
      </w:pPr>
    </w:p>
    <w:p w14:paraId="7919A154" w14:textId="77777777" w:rsidR="00382B94" w:rsidRDefault="00382B94" w:rsidP="00382B94">
      <w:pPr>
        <w:pStyle w:val="Akapitzlist"/>
        <w:ind w:left="765"/>
      </w:pPr>
      <w:r>
        <w:rPr>
          <w:b/>
          <w:bCs/>
          <w:sz w:val="24"/>
          <w:szCs w:val="24"/>
        </w:rPr>
        <w:t>8 - 19 stycznia</w:t>
      </w:r>
      <w:r>
        <w:rPr>
          <w:sz w:val="24"/>
          <w:szCs w:val="24"/>
        </w:rPr>
        <w:t xml:space="preserve"> 2024r do godz. 12:00 do dziekanatu WFIS lub do przewodniczącego Wydziałowej Komisji Wyborczej (WKW).</w:t>
      </w:r>
    </w:p>
    <w:p w14:paraId="674F124B" w14:textId="77777777" w:rsidR="00382B94" w:rsidRDefault="00382B94" w:rsidP="00382B94">
      <w:pPr>
        <w:pStyle w:val="Akapitzlist"/>
        <w:numPr>
          <w:ilvl w:val="0"/>
          <w:numId w:val="15"/>
        </w:numPr>
        <w:suppressAutoHyphens/>
        <w:autoSpaceDN w:val="0"/>
        <w:spacing w:line="249" w:lineRule="auto"/>
        <w:rPr>
          <w:sz w:val="24"/>
          <w:szCs w:val="24"/>
        </w:rPr>
      </w:pPr>
      <w:r>
        <w:rPr>
          <w:sz w:val="24"/>
          <w:szCs w:val="24"/>
        </w:rPr>
        <w:t>Zgłaszanie kandydatów wśród nauczycieli akademickich zatrudnionych na stanowisku profesora, profesora uczelni oraz posiadający stopień doktora habilitowanego           (4 mandaty).</w:t>
      </w:r>
    </w:p>
    <w:p w14:paraId="5F7DADF9" w14:textId="77777777" w:rsidR="00382B94" w:rsidRDefault="00382B94" w:rsidP="00382B94">
      <w:pPr>
        <w:pStyle w:val="Akapitzlist"/>
        <w:numPr>
          <w:ilvl w:val="0"/>
          <w:numId w:val="15"/>
        </w:numPr>
        <w:suppressAutoHyphens/>
        <w:autoSpaceDN w:val="0"/>
        <w:spacing w:line="249" w:lineRule="auto"/>
        <w:rPr>
          <w:sz w:val="24"/>
          <w:szCs w:val="24"/>
        </w:rPr>
      </w:pPr>
      <w:r>
        <w:rPr>
          <w:sz w:val="24"/>
          <w:szCs w:val="24"/>
        </w:rPr>
        <w:t>Zgłaszanie kandydatów wśród pozostałych nauczycieli akademickich (1 mandat).</w:t>
      </w:r>
    </w:p>
    <w:p w14:paraId="7388046B" w14:textId="77777777" w:rsidR="00382B94" w:rsidRDefault="00382B94" w:rsidP="00382B94">
      <w:pPr>
        <w:ind w:firstLine="708"/>
      </w:pPr>
      <w:r>
        <w:t>Wybory elektorów WFIS</w:t>
      </w:r>
    </w:p>
    <w:p w14:paraId="441E6A57" w14:textId="77777777" w:rsidR="00382B94" w:rsidRDefault="00382B94" w:rsidP="00382B94">
      <w:pPr>
        <w:pStyle w:val="Akapitzlist"/>
        <w:numPr>
          <w:ilvl w:val="0"/>
          <w:numId w:val="16"/>
        </w:numPr>
        <w:suppressAutoHyphens/>
        <w:autoSpaceDN w:val="0"/>
        <w:spacing w:line="249" w:lineRule="auto"/>
      </w:pPr>
      <w:r>
        <w:rPr>
          <w:b/>
          <w:bCs/>
          <w:sz w:val="24"/>
          <w:szCs w:val="24"/>
        </w:rPr>
        <w:t>23 stycznia</w:t>
      </w:r>
      <w:r>
        <w:rPr>
          <w:sz w:val="24"/>
          <w:szCs w:val="24"/>
        </w:rPr>
        <w:t xml:space="preserve"> 2024r pozostali nauczyciele akademiccy, głosowanie do urny w holu wydziału w godz. 8-12.</w:t>
      </w:r>
    </w:p>
    <w:p w14:paraId="5DE273FB" w14:textId="77777777" w:rsidR="00382B94" w:rsidRDefault="00382B94" w:rsidP="00382B94">
      <w:pPr>
        <w:pStyle w:val="Akapitzlist"/>
        <w:ind w:left="765"/>
        <w:rPr>
          <w:sz w:val="24"/>
          <w:szCs w:val="24"/>
        </w:rPr>
      </w:pPr>
    </w:p>
    <w:p w14:paraId="53883EFF" w14:textId="77777777" w:rsidR="00382B94" w:rsidRDefault="00382B94" w:rsidP="00382B94">
      <w:pPr>
        <w:pStyle w:val="Akapitzlist"/>
        <w:numPr>
          <w:ilvl w:val="0"/>
          <w:numId w:val="16"/>
        </w:numPr>
        <w:suppressAutoHyphens/>
        <w:autoSpaceDN w:val="0"/>
        <w:spacing w:line="249" w:lineRule="auto"/>
      </w:pPr>
      <w:r>
        <w:rPr>
          <w:b/>
          <w:bCs/>
          <w:sz w:val="24"/>
          <w:szCs w:val="24"/>
        </w:rPr>
        <w:t>24 stycznia</w:t>
      </w:r>
      <w:r>
        <w:rPr>
          <w:sz w:val="24"/>
          <w:szCs w:val="24"/>
        </w:rPr>
        <w:t xml:space="preserve"> 2024r wśród nauczycieli akademickich zatrudnionych na stanowisku profesora, profesora uczelni oraz posiadający stopień doktora habilitowanego, w trakcie stacjonarnej Rady Wydziału.</w:t>
      </w:r>
    </w:p>
    <w:p w14:paraId="2CE59C2C" w14:textId="77777777" w:rsidR="00382B94" w:rsidRDefault="00382B94" w:rsidP="00382B94">
      <w:pPr>
        <w:pStyle w:val="Akapitzlist"/>
        <w:ind w:left="765"/>
        <w:rPr>
          <w:sz w:val="24"/>
          <w:szCs w:val="24"/>
        </w:rPr>
      </w:pPr>
    </w:p>
    <w:p w14:paraId="7FA50E29" w14:textId="77777777" w:rsidR="00382B94" w:rsidRDefault="00382B94" w:rsidP="00382B94">
      <w:pPr>
        <w:pStyle w:val="Akapitzlist"/>
        <w:numPr>
          <w:ilvl w:val="0"/>
          <w:numId w:val="14"/>
        </w:numPr>
        <w:suppressAutoHyphens/>
        <w:autoSpaceDN w:val="0"/>
        <w:spacing w:line="249" w:lineRule="auto"/>
      </w:pPr>
      <w:r>
        <w:rPr>
          <w:sz w:val="24"/>
          <w:szCs w:val="24"/>
        </w:rPr>
        <w:t>Wybory do Senatu UŁ oraz do Rady Wydziału (</w:t>
      </w:r>
      <w:r>
        <w:rPr>
          <w:b/>
          <w:bCs/>
          <w:sz w:val="24"/>
          <w:szCs w:val="24"/>
        </w:rPr>
        <w:t>do 26 kwietnia 2024r</w:t>
      </w:r>
      <w:r>
        <w:rPr>
          <w:sz w:val="24"/>
          <w:szCs w:val="24"/>
        </w:rPr>
        <w:t>)</w:t>
      </w:r>
    </w:p>
    <w:p w14:paraId="7A1D345A" w14:textId="77777777" w:rsidR="00382B94" w:rsidRDefault="00382B94" w:rsidP="00382B94">
      <w:pPr>
        <w:pStyle w:val="Akapitzlist"/>
        <w:rPr>
          <w:sz w:val="24"/>
          <w:szCs w:val="24"/>
        </w:rPr>
      </w:pPr>
    </w:p>
    <w:p w14:paraId="4D6E4B78" w14:textId="77777777" w:rsidR="00382B94" w:rsidRDefault="00382B94" w:rsidP="00382B94">
      <w:pPr>
        <w:pStyle w:val="Akapitzlist"/>
      </w:pPr>
      <w:r>
        <w:rPr>
          <w:b/>
          <w:bCs/>
          <w:sz w:val="24"/>
          <w:szCs w:val="24"/>
        </w:rPr>
        <w:t>2-12 kwietnia</w:t>
      </w:r>
      <w:r>
        <w:rPr>
          <w:sz w:val="24"/>
          <w:szCs w:val="24"/>
        </w:rPr>
        <w:t xml:space="preserve"> 2024r. do godz. 12:00 do dziekanatu lub do przewodniczącego WKW.</w:t>
      </w:r>
    </w:p>
    <w:p w14:paraId="1B520E4B" w14:textId="77777777" w:rsidR="00382B94" w:rsidRDefault="00382B94" w:rsidP="00382B94">
      <w:pPr>
        <w:pStyle w:val="Akapitzlist"/>
        <w:numPr>
          <w:ilvl w:val="0"/>
          <w:numId w:val="15"/>
        </w:numPr>
        <w:suppressAutoHyphens/>
        <w:autoSpaceDN w:val="0"/>
        <w:spacing w:line="249" w:lineRule="auto"/>
        <w:rPr>
          <w:sz w:val="24"/>
          <w:szCs w:val="24"/>
        </w:rPr>
      </w:pPr>
      <w:r>
        <w:rPr>
          <w:sz w:val="24"/>
          <w:szCs w:val="24"/>
        </w:rPr>
        <w:t>Zgłaszanie kandydatów do Senatu (1 mandat) oraz Rady Wydziału WFIS wśród pozostałych nauczycieli akademickich.</w:t>
      </w:r>
    </w:p>
    <w:p w14:paraId="35FB029A" w14:textId="77777777" w:rsidR="00382B94" w:rsidRDefault="00382B94" w:rsidP="00382B94">
      <w:pPr>
        <w:pStyle w:val="Akapitzlist"/>
        <w:numPr>
          <w:ilvl w:val="0"/>
          <w:numId w:val="15"/>
        </w:numPr>
        <w:suppressAutoHyphens/>
        <w:autoSpaceDN w:val="0"/>
        <w:spacing w:line="249" w:lineRule="auto"/>
        <w:rPr>
          <w:sz w:val="24"/>
          <w:szCs w:val="24"/>
        </w:rPr>
      </w:pPr>
      <w:r>
        <w:rPr>
          <w:sz w:val="24"/>
          <w:szCs w:val="24"/>
        </w:rPr>
        <w:t>Zgłaszanie kandydatów do Rady Wydziału WFIS wśród pracowników niebędących nauczycielami akademickimi.</w:t>
      </w:r>
    </w:p>
    <w:p w14:paraId="799F9FFD" w14:textId="77777777" w:rsidR="00382B94" w:rsidRDefault="00382B94" w:rsidP="00382B94">
      <w:pPr>
        <w:pStyle w:val="Akapitzlist"/>
        <w:rPr>
          <w:sz w:val="24"/>
          <w:szCs w:val="24"/>
        </w:rPr>
      </w:pPr>
    </w:p>
    <w:p w14:paraId="7BC9A923" w14:textId="77777777" w:rsidR="00382B94" w:rsidRDefault="00382B94" w:rsidP="00382B94">
      <w:pPr>
        <w:pStyle w:val="Akapitzlist"/>
      </w:pPr>
      <w:r>
        <w:rPr>
          <w:b/>
          <w:bCs/>
          <w:sz w:val="24"/>
          <w:szCs w:val="24"/>
        </w:rPr>
        <w:t>8-19 kwietnia</w:t>
      </w:r>
      <w:r>
        <w:rPr>
          <w:sz w:val="24"/>
          <w:szCs w:val="24"/>
        </w:rPr>
        <w:t xml:space="preserve"> 2024r. do godz. 12:00 do dziekanatu lub do przewodniczącego WKW.</w:t>
      </w:r>
    </w:p>
    <w:p w14:paraId="026AAA37" w14:textId="77777777" w:rsidR="00382B94" w:rsidRDefault="00382B94" w:rsidP="00382B94">
      <w:pPr>
        <w:pStyle w:val="Akapitzlist"/>
        <w:numPr>
          <w:ilvl w:val="0"/>
          <w:numId w:val="17"/>
        </w:numPr>
        <w:suppressAutoHyphens/>
        <w:autoSpaceDN w:val="0"/>
        <w:spacing w:line="249" w:lineRule="auto"/>
        <w:rPr>
          <w:sz w:val="24"/>
          <w:szCs w:val="24"/>
        </w:rPr>
      </w:pPr>
      <w:r>
        <w:rPr>
          <w:sz w:val="24"/>
          <w:szCs w:val="24"/>
        </w:rPr>
        <w:t>Zgłaszanie kandydatów do Senatu wśród nauczycieli akademickich zatrudnionych na stanowisku profesora, profesora uczelni (3 mandaty) .</w:t>
      </w:r>
    </w:p>
    <w:p w14:paraId="5110B541" w14:textId="77777777" w:rsidR="00382B94" w:rsidRDefault="00382B94" w:rsidP="00382B94">
      <w:pPr>
        <w:pStyle w:val="Akapitzlist"/>
        <w:rPr>
          <w:sz w:val="24"/>
          <w:szCs w:val="24"/>
        </w:rPr>
      </w:pPr>
    </w:p>
    <w:p w14:paraId="09065E14" w14:textId="77777777" w:rsidR="00382B94" w:rsidRDefault="00382B94" w:rsidP="00382B94">
      <w:pPr>
        <w:pStyle w:val="Akapitzlist"/>
        <w:numPr>
          <w:ilvl w:val="0"/>
          <w:numId w:val="15"/>
        </w:numPr>
        <w:suppressAutoHyphens/>
        <w:autoSpaceDN w:val="0"/>
        <w:spacing w:line="249" w:lineRule="auto"/>
      </w:pPr>
      <w:r>
        <w:rPr>
          <w:b/>
          <w:bCs/>
          <w:sz w:val="24"/>
          <w:szCs w:val="24"/>
        </w:rPr>
        <w:t>16 kwietnia</w:t>
      </w:r>
      <w:r>
        <w:rPr>
          <w:sz w:val="24"/>
          <w:szCs w:val="24"/>
        </w:rPr>
        <w:t xml:space="preserve"> 2024r. wybory do Senatu i RW wśród pozostałych nauczycieli akademickich, głosowanie do urny w holu wydziału w godz. 8-12 oraz wybory do RW wśród pracowników niebędących nauczycielami akademickimi, głosowanie do urny udostępnionej w dziekanacie wydziału w godz. 8-12.</w:t>
      </w:r>
    </w:p>
    <w:p w14:paraId="5453D91D" w14:textId="77777777" w:rsidR="00382B94" w:rsidRDefault="00382B94" w:rsidP="00382B94">
      <w:pPr>
        <w:pStyle w:val="Akapitzlist"/>
        <w:ind w:left="765"/>
        <w:rPr>
          <w:sz w:val="24"/>
          <w:szCs w:val="24"/>
        </w:rPr>
      </w:pPr>
    </w:p>
    <w:p w14:paraId="2FBD220D" w14:textId="77777777" w:rsidR="00382B94" w:rsidRDefault="00382B94" w:rsidP="00382B94">
      <w:pPr>
        <w:pStyle w:val="Akapitzlist"/>
        <w:numPr>
          <w:ilvl w:val="0"/>
          <w:numId w:val="15"/>
        </w:numPr>
        <w:suppressAutoHyphens/>
        <w:autoSpaceDN w:val="0"/>
        <w:spacing w:line="249" w:lineRule="auto"/>
      </w:pPr>
      <w:r>
        <w:rPr>
          <w:b/>
          <w:bCs/>
          <w:sz w:val="24"/>
          <w:szCs w:val="24"/>
        </w:rPr>
        <w:lastRenderedPageBreak/>
        <w:t>24 kwietnia</w:t>
      </w:r>
      <w:r>
        <w:rPr>
          <w:sz w:val="24"/>
          <w:szCs w:val="24"/>
        </w:rPr>
        <w:t xml:space="preserve"> 2024r. wybory do Senatu wśród nauczycieli akademickich zatrudnionych na stanowisku profesora, profesora uczelni, w trakcie stacjonarnej Rady Wydziału.</w:t>
      </w:r>
    </w:p>
    <w:p w14:paraId="05D01183" w14:textId="77777777" w:rsidR="00382B94" w:rsidRDefault="00382B94" w:rsidP="00382B94">
      <w:pPr>
        <w:pStyle w:val="Akapitzlist"/>
        <w:ind w:left="765"/>
        <w:rPr>
          <w:sz w:val="24"/>
          <w:szCs w:val="24"/>
        </w:rPr>
      </w:pPr>
    </w:p>
    <w:p w14:paraId="1A3C7854" w14:textId="77777777" w:rsidR="00382B94" w:rsidRDefault="00382B94" w:rsidP="00382B94">
      <w:pPr>
        <w:pStyle w:val="Akapitzlist"/>
        <w:ind w:left="765"/>
        <w:rPr>
          <w:sz w:val="24"/>
          <w:szCs w:val="24"/>
        </w:rPr>
      </w:pPr>
    </w:p>
    <w:p w14:paraId="1CE0E8AA" w14:textId="77777777" w:rsidR="00382B94" w:rsidRDefault="00382B94" w:rsidP="00382B94">
      <w:pPr>
        <w:rPr>
          <w:b/>
          <w:bCs/>
        </w:rPr>
      </w:pPr>
      <w:r>
        <w:rPr>
          <w:b/>
          <w:bCs/>
        </w:rPr>
        <w:t>Informacje dotyczące praw wyborczych i wymogów formalnych.</w:t>
      </w:r>
    </w:p>
    <w:p w14:paraId="7B4A736F" w14:textId="77777777" w:rsidR="00382B94" w:rsidRDefault="00382B94" w:rsidP="00382B94">
      <w:pPr>
        <w:spacing w:after="0" w:line="240" w:lineRule="auto"/>
        <w:jc w:val="both"/>
        <w:rPr>
          <w:sz w:val="22"/>
          <w:szCs w:val="22"/>
        </w:rPr>
      </w:pPr>
      <w:r>
        <w:t>Czynne prawo wyborcze przysługuje nauczycielom akademickim zatrudnionym w Uniwersytecie, pracownikom niebędącym nauczycielami akademickimi zatrudnionym w Uniwersytecie oraz studentom i doktorantom.</w:t>
      </w:r>
    </w:p>
    <w:p w14:paraId="723B5392" w14:textId="77777777" w:rsidR="00382B94" w:rsidRDefault="00382B94" w:rsidP="00382B94">
      <w:pPr>
        <w:spacing w:after="0" w:line="240" w:lineRule="auto"/>
        <w:jc w:val="both"/>
      </w:pPr>
    </w:p>
    <w:p w14:paraId="6901F7C1" w14:textId="77777777" w:rsidR="00382B94" w:rsidRDefault="00382B94" w:rsidP="00382B94">
      <w:pPr>
        <w:spacing w:after="0" w:line="240" w:lineRule="auto"/>
        <w:jc w:val="both"/>
      </w:pPr>
      <w:r>
        <w:t>Bierne prawo wyborcze przysługuje nauczycielom akademickim, zatrudnionym w Uniwersytecie jako podstawowym miejscu pracy, którzy nie ukończyli 67 roku życia do dnia rozpoczęcia kadencji, oraz pracownikom niebędącym nauczycielami akademickimi zatrudnionym w Uniwersytecie w pełnym wymiarze czasu pracy.</w:t>
      </w:r>
    </w:p>
    <w:p w14:paraId="0B8AA0BA" w14:textId="77777777" w:rsidR="00382B94" w:rsidRDefault="00382B94" w:rsidP="00382B94">
      <w:pPr>
        <w:spacing w:after="0" w:line="240" w:lineRule="auto"/>
      </w:pPr>
    </w:p>
    <w:p w14:paraId="6044AB7A" w14:textId="77777777" w:rsidR="00382B94" w:rsidRDefault="00382B94" w:rsidP="00382B94">
      <w:pPr>
        <w:jc w:val="both"/>
      </w:pPr>
      <w:r>
        <w:t>Zgodnie ze Statutem UŁ zgłaszanie kandydatów do kolegium elektorów wymaga złożenia:</w:t>
      </w:r>
    </w:p>
    <w:p w14:paraId="45735218" w14:textId="77777777" w:rsidR="00382B94" w:rsidRDefault="00382B94" w:rsidP="00382B94">
      <w:pPr>
        <w:jc w:val="both"/>
      </w:pPr>
      <w:r>
        <w:t xml:space="preserve">• pisemnego zgłoszenia kandydata przez osobę do tego uprawnioną, wraz z oświadczeniem kandydata o wyrażeniu przez niego zgody na kandydowanie (wzór zgłoszenia będzie udostępniony). </w:t>
      </w:r>
    </w:p>
    <w:p w14:paraId="74213656" w14:textId="77777777" w:rsidR="00382B94" w:rsidRDefault="00382B94" w:rsidP="00382B94">
      <w:pPr>
        <w:jc w:val="both"/>
      </w:pPr>
      <w:r>
        <w:t>• oświadczenia lustracyjnego kandydata lub informacji o złożeniu oświadczenia lustracyjnego przez kandydata (oświadczenia lustracyjne składają osoby urodzone przed dniem 1 sierpnia 1972 r.)</w:t>
      </w:r>
    </w:p>
    <w:p w14:paraId="392E765B" w14:textId="77777777" w:rsidR="00382B94" w:rsidRDefault="00382B94" w:rsidP="00382B94">
      <w:pPr>
        <w:jc w:val="both"/>
      </w:pPr>
      <w:r>
        <w:t xml:space="preserve">Zgodnie z przepisami Statutu UŁ § 122, ust. 3 członkiem kolegium elektorów może być osoba, która: </w:t>
      </w:r>
    </w:p>
    <w:p w14:paraId="467F574D" w14:textId="77777777" w:rsidR="00382B94" w:rsidRDefault="00382B94" w:rsidP="00382B94">
      <w:pPr>
        <w:ind w:left="360"/>
        <w:jc w:val="both"/>
      </w:pPr>
      <w:r>
        <w:t xml:space="preserve">1) ma pełną zdolność do czynności prawnych; </w:t>
      </w:r>
    </w:p>
    <w:p w14:paraId="1E450170" w14:textId="77777777" w:rsidR="00382B94" w:rsidRDefault="00382B94" w:rsidP="00382B94">
      <w:pPr>
        <w:ind w:left="360"/>
        <w:jc w:val="both"/>
      </w:pPr>
      <w:r>
        <w:t xml:space="preserve">2) korzysta z pełni praw publicznych; </w:t>
      </w:r>
    </w:p>
    <w:p w14:paraId="5854DEB5" w14:textId="77777777" w:rsidR="00382B94" w:rsidRDefault="00382B94" w:rsidP="00382B94">
      <w:pPr>
        <w:ind w:left="360"/>
        <w:jc w:val="both"/>
      </w:pPr>
      <w:r>
        <w:t xml:space="preserve">3) nie była skazana prawomocnym wyrokiem za umyślne przestępstwo lub umyślne przestępstwo skarbowe; </w:t>
      </w:r>
    </w:p>
    <w:p w14:paraId="4AF0A85C" w14:textId="77777777" w:rsidR="00382B94" w:rsidRDefault="00382B94" w:rsidP="00382B94">
      <w:pPr>
        <w:ind w:left="360"/>
        <w:jc w:val="both"/>
      </w:pPr>
      <w:r>
        <w:t xml:space="preserve">4) nie była karana karą dyscyplinarną; </w:t>
      </w:r>
    </w:p>
    <w:p w14:paraId="0D77ACC3" w14:textId="77777777" w:rsidR="00382B94" w:rsidRDefault="00382B94" w:rsidP="00382B94">
      <w:pPr>
        <w:ind w:left="360"/>
        <w:jc w:val="both"/>
      </w:pPr>
      <w:r>
        <w:t>5) w okresie od dnia 22 lipca 1944 r. do dnia 31 1ipca 1990 r. nie pracowała w organach bezpieczeństwa państwa w rozumieniu odrębnych przepisów, nie pełniła w nich służby ani nie współpracowała z tymi organami; 6) nie ukończyła 67. roku życia do dnia rozpoczęcia kadencji.</w:t>
      </w:r>
    </w:p>
    <w:p w14:paraId="432B786D" w14:textId="77777777" w:rsidR="00382B94" w:rsidRDefault="00382B94" w:rsidP="00382B94">
      <w:pPr>
        <w:jc w:val="both"/>
      </w:pPr>
      <w:r>
        <w:lastRenderedPageBreak/>
        <w:t>Członkostwa w kolegium elektorów nie można łączyć z pełnieniem funkcji organu Uniwersytetu lub innej uczelni, członkostwem w radzie innej uczelni ani zatrudnieniem w administracji publicznej (Statut UŁ, § 125, ust. 1).</w:t>
      </w:r>
    </w:p>
    <w:p w14:paraId="34B9E064" w14:textId="080D0925" w:rsidR="009B20FA" w:rsidRDefault="009B20FA" w:rsidP="006859D6">
      <w:pPr>
        <w:spacing w:after="120" w:line="276" w:lineRule="auto"/>
      </w:pPr>
    </w:p>
    <w:sectPr w:rsidR="009B20FA" w:rsidSect="002171FE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A3F2" w14:textId="77777777" w:rsidR="001A0D7F" w:rsidRDefault="001A0D7F" w:rsidP="0040517E">
      <w:pPr>
        <w:spacing w:after="0" w:line="240" w:lineRule="auto"/>
      </w:pPr>
      <w:r>
        <w:separator/>
      </w:r>
    </w:p>
  </w:endnote>
  <w:endnote w:type="continuationSeparator" w:id="0">
    <w:p w14:paraId="14820FE7" w14:textId="77777777" w:rsidR="001A0D7F" w:rsidRDefault="001A0D7F" w:rsidP="0040517E">
      <w:pPr>
        <w:spacing w:after="0" w:line="240" w:lineRule="auto"/>
      </w:pPr>
      <w:r>
        <w:continuationSeparator/>
      </w:r>
    </w:p>
  </w:endnote>
  <w:endnote w:type="continuationNotice" w:id="1">
    <w:p w14:paraId="50C570E6" w14:textId="77777777" w:rsidR="001A0D7F" w:rsidRDefault="001A0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139D" w14:textId="77777777" w:rsidR="001A0D7F" w:rsidRDefault="001A0D7F" w:rsidP="0040517E">
      <w:pPr>
        <w:spacing w:after="0" w:line="240" w:lineRule="auto"/>
      </w:pPr>
      <w:r>
        <w:separator/>
      </w:r>
    </w:p>
  </w:footnote>
  <w:footnote w:type="continuationSeparator" w:id="0">
    <w:p w14:paraId="5FA18774" w14:textId="77777777" w:rsidR="001A0D7F" w:rsidRDefault="001A0D7F" w:rsidP="0040517E">
      <w:pPr>
        <w:spacing w:after="0" w:line="240" w:lineRule="auto"/>
      </w:pPr>
      <w:r>
        <w:continuationSeparator/>
      </w:r>
    </w:p>
  </w:footnote>
  <w:footnote w:type="continuationNotice" w:id="1">
    <w:p w14:paraId="04D4D5AC" w14:textId="77777777" w:rsidR="001A0D7F" w:rsidRDefault="001A0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442EB"/>
    <w:multiLevelType w:val="multilevel"/>
    <w:tmpl w:val="EB0E29B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1" w15:restartNumberingAfterBreak="0">
    <w:nsid w:val="282A0C8A"/>
    <w:multiLevelType w:val="multilevel"/>
    <w:tmpl w:val="8CB0C024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9259E"/>
    <w:multiLevelType w:val="multilevel"/>
    <w:tmpl w:val="C69CF96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3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543D0"/>
    <w:multiLevelType w:val="multilevel"/>
    <w:tmpl w:val="94B2E4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4"/>
  </w:num>
  <w:num w:numId="12" w16cid:durableId="200746520">
    <w:abstractNumId w:val="13"/>
  </w:num>
  <w:num w:numId="13" w16cid:durableId="1570311573">
    <w:abstractNumId w:val="16"/>
  </w:num>
  <w:num w:numId="14" w16cid:durableId="734663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09651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5736560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496176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F2C5A"/>
    <w:rsid w:val="00197E84"/>
    <w:rsid w:val="001A0D7F"/>
    <w:rsid w:val="001D44A5"/>
    <w:rsid w:val="001E0E19"/>
    <w:rsid w:val="001F5E00"/>
    <w:rsid w:val="002171FE"/>
    <w:rsid w:val="002E02E9"/>
    <w:rsid w:val="002E03A9"/>
    <w:rsid w:val="002F7274"/>
    <w:rsid w:val="002F778B"/>
    <w:rsid w:val="00315721"/>
    <w:rsid w:val="00333A01"/>
    <w:rsid w:val="003771B5"/>
    <w:rsid w:val="00382B94"/>
    <w:rsid w:val="003B1CC2"/>
    <w:rsid w:val="0040517E"/>
    <w:rsid w:val="004A3BAA"/>
    <w:rsid w:val="004A7827"/>
    <w:rsid w:val="004E3CCE"/>
    <w:rsid w:val="00555323"/>
    <w:rsid w:val="005A3D6A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D6768"/>
    <w:rsid w:val="00763B0F"/>
    <w:rsid w:val="00781F7E"/>
    <w:rsid w:val="007915A8"/>
    <w:rsid w:val="007F5FB7"/>
    <w:rsid w:val="00844B1B"/>
    <w:rsid w:val="008A5754"/>
    <w:rsid w:val="009913E4"/>
    <w:rsid w:val="009B20FA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8058F"/>
    <w:rsid w:val="00BA7538"/>
    <w:rsid w:val="00BD1EFA"/>
    <w:rsid w:val="00BD55DD"/>
    <w:rsid w:val="00BF2373"/>
    <w:rsid w:val="00BF5366"/>
    <w:rsid w:val="00C078EE"/>
    <w:rsid w:val="00C26FFA"/>
    <w:rsid w:val="00C61A69"/>
    <w:rsid w:val="00CB3968"/>
    <w:rsid w:val="00CC4EFA"/>
    <w:rsid w:val="00CD3F52"/>
    <w:rsid w:val="00D9112A"/>
    <w:rsid w:val="00DB0429"/>
    <w:rsid w:val="00E566D7"/>
    <w:rsid w:val="00E65DDE"/>
    <w:rsid w:val="00E720E7"/>
    <w:rsid w:val="00E97BDE"/>
    <w:rsid w:val="00EA72F1"/>
    <w:rsid w:val="00EC12AC"/>
    <w:rsid w:val="00FA3ED2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2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Uchwała UKW</vt:lpstr>
      <vt:lpstr>Uchwała nr 1 Uczelnianej Komisji Wyborczej UŁ  z dnia 22 listopada 2023 r.</vt:lpstr>
      <vt:lpstr>        paragraf	§ 1</vt:lpstr>
      <vt:lpstr>        paragraf	§ 2</vt:lpstr>
      <vt:lpstr>        Na zastępcę przewodniczącej Uczelnianej Komisji Wyborczej UŁ wybiera się dr hab.</vt:lpstr>
      <vt:lpstr>        paragraf	§ 3</vt:lpstr>
      <vt:lpstr>        paragraf	§ 4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Monika Filipkowska</cp:lastModifiedBy>
  <cp:revision>2</cp:revision>
  <cp:lastPrinted>2023-01-05T07:28:00Z</cp:lastPrinted>
  <dcterms:created xsi:type="dcterms:W3CDTF">2024-01-10T11:50:00Z</dcterms:created>
  <dcterms:modified xsi:type="dcterms:W3CDTF">2024-01-10T11:50:00Z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